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/>
          <w:b/>
          <w:color w:val="1F3864" w:themeColor="accent1" w:themeShade="80"/>
          <w:u w:val="single"/>
        </w:rPr>
      </w:pPr>
      <w:r>
        <w:rPr>
          <w:rFonts w:ascii="Cambria" w:hAnsi="Cambria"/>
          <w:b/>
          <w:color w:val="1F3864" w:themeColor="accent1" w:themeShade="80"/>
          <w:u w:val="single"/>
        </w:rPr>
      </w:r>
    </w:p>
    <w:p>
      <w:pPr>
        <w:pStyle w:val="Normal"/>
        <w:jc w:val="center"/>
        <w:rPr>
          <w:rFonts w:ascii="Cambria" w:hAnsi="Cambria"/>
          <w:b/>
          <w:b/>
          <w:color w:val="1F3864" w:themeColor="accent1" w:themeShade="80"/>
          <w:u w:val="single"/>
        </w:rPr>
      </w:pPr>
      <w:r>
        <w:rPr>
          <w:rFonts w:ascii="Cambria" w:hAnsi="Cambria"/>
          <w:b/>
          <w:color w:val="1F3864" w:themeColor="accent1" w:themeShade="80"/>
          <w:u w:val="single"/>
        </w:rPr>
        <w:t>SUGESTÃO DE EMENDA À CONSTITUIÇÃO</w:t>
      </w:r>
    </w:p>
    <w:p>
      <w:pPr>
        <w:pStyle w:val="Normal"/>
        <w:jc w:val="center"/>
        <w:rPr>
          <w:rFonts w:ascii="Cambria" w:hAnsi="Cambria"/>
          <w:b/>
          <w:b/>
          <w:i/>
          <w:i/>
          <w:color w:val="1F3864" w:themeColor="accent1" w:themeShade="80"/>
        </w:rPr>
      </w:pPr>
      <w:r>
        <w:rPr>
          <w:rFonts w:ascii="Cambria" w:hAnsi="Cambria"/>
          <w:b/>
          <w:i/>
          <w:color w:val="1F3864" w:themeColor="accent1" w:themeShade="80"/>
        </w:rPr>
        <w:t>(à Comissão Mista de Reforma Tributária)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Inclua-se o seguinte parágrafo 5º no artigo 174 da Constituição Federal de 1988: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left="1416" w:hanging="0"/>
        <w:jc w:val="both"/>
        <w:rPr>
          <w:rFonts w:ascii="Cambria" w:hAnsi="Cambria"/>
        </w:rPr>
      </w:pPr>
      <w:r>
        <w:rPr>
          <w:rFonts w:ascii="Cambria" w:hAnsi="Cambria"/>
        </w:rPr>
        <w:t>“</w:t>
      </w:r>
      <w:r>
        <w:rPr>
          <w:rFonts w:ascii="Cambria" w:hAnsi="Cambria"/>
        </w:rPr>
        <w:t>Art. 174.........................................................</w:t>
      </w:r>
    </w:p>
    <w:p>
      <w:pPr>
        <w:pStyle w:val="Normal"/>
        <w:ind w:left="1416" w:hanging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</w:t>
      </w:r>
    </w:p>
    <w:p>
      <w:pPr>
        <w:pStyle w:val="Normal"/>
        <w:ind w:left="1416" w:hanging="0"/>
        <w:jc w:val="both"/>
        <w:rPr>
          <w:rFonts w:ascii="Cambria" w:hAnsi="Cambria"/>
        </w:rPr>
      </w:pPr>
      <w:r>
        <w:rPr>
          <w:rFonts w:ascii="Cambria" w:hAnsi="Cambria"/>
        </w:rPr>
        <w:t>[....]</w:t>
      </w:r>
    </w:p>
    <w:p>
      <w:pPr>
        <w:pStyle w:val="Normal"/>
        <w:ind w:left="1416" w:hanging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</w:t>
      </w:r>
    </w:p>
    <w:p>
      <w:pPr>
        <w:pStyle w:val="Normal"/>
        <w:ind w:left="1416" w:hanging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</w:t>
      </w:r>
    </w:p>
    <w:p>
      <w:pPr>
        <w:pStyle w:val="Normal"/>
        <w:ind w:left="1416" w:hanging="0"/>
        <w:jc w:val="both"/>
        <w:rPr>
          <w:rFonts w:ascii="Cambria" w:hAnsi="Cambria"/>
        </w:rPr>
      </w:pPr>
      <w:r>
        <w:rPr>
          <w:rFonts w:ascii="Cambria" w:hAnsi="Cambria"/>
        </w:rPr>
        <w:t>§ 5º. A União, os Estados, o Distrito Federal e os Municípios apoiarão e estimularão as organizações da sociedade civil sem fins lucrativos, dedicadas e operando atividades que contribuam no alcance dos objetivos previstos no art. 3º desta Constituição:</w:t>
      </w:r>
    </w:p>
    <w:p>
      <w:pPr>
        <w:pStyle w:val="Normal"/>
        <w:ind w:left="1416" w:hanging="0"/>
        <w:jc w:val="both"/>
        <w:rPr>
          <w:rFonts w:ascii="Cambria" w:hAnsi="Cambria"/>
        </w:rPr>
      </w:pPr>
      <w:r>
        <w:rPr>
          <w:rFonts w:ascii="Cambria" w:hAnsi="Cambria"/>
        </w:rPr>
        <w:t>(I) pela garantia de tratamento diferenciado e favorecido às organizações;</w:t>
      </w:r>
    </w:p>
    <w:p>
      <w:pPr>
        <w:pStyle w:val="Normal"/>
        <w:ind w:left="1416" w:hanging="0"/>
        <w:jc w:val="both"/>
        <w:rPr>
          <w:rFonts w:ascii="Cambria" w:hAnsi="Cambria"/>
        </w:rPr>
      </w:pPr>
      <w:r>
        <w:rPr>
          <w:rFonts w:ascii="Cambria" w:hAnsi="Cambria"/>
        </w:rPr>
        <w:t>(II) por incentivos econômicos e fiscais para a atuação das organizações; e</w:t>
      </w:r>
    </w:p>
    <w:p>
      <w:pPr>
        <w:pStyle w:val="Normal"/>
        <w:ind w:left="1416" w:hanging="0"/>
        <w:jc w:val="both"/>
        <w:rPr>
          <w:rFonts w:ascii="Cambria" w:hAnsi="Cambria"/>
        </w:rPr>
      </w:pPr>
      <w:r>
        <w:rPr>
          <w:rFonts w:ascii="Cambria" w:hAnsi="Cambria"/>
        </w:rPr>
        <w:t>(III) pela não incidência tributária a doações e outros ingressos destinados às suas finalidades". (NR)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center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JUSTIFICAÇÃO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contextualSpacing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>A Reforma Tributária impactará as 781.921 organizações da sociedade civil (OSC) existentes no Brasil, segundo dados do Ipea. Essas OSC empregam, diretamente, 2.336.413 pessoas.</w:t>
      </w:r>
    </w:p>
    <w:p>
      <w:pPr>
        <w:pStyle w:val="Normal"/>
        <w:spacing w:before="0" w:after="0"/>
        <w:contextualSpacing/>
        <w:jc w:val="both"/>
        <w:rPr>
          <w:rFonts w:ascii="Cambria" w:hAnsi="Cambria" w:cs="Calibri" w:cstheme="minorHAnsi"/>
          <w:b/>
          <w:b/>
        </w:rPr>
      </w:pPr>
      <w:r>
        <w:rPr>
          <w:rFonts w:cs="Calibri" w:cstheme="minorHAnsi" w:ascii="Cambria" w:hAnsi="Cambria"/>
          <w:b/>
        </w:rPr>
      </w:r>
    </w:p>
    <w:p>
      <w:pPr>
        <w:pStyle w:val="Normal"/>
        <w:spacing w:before="0" w:after="0"/>
        <w:contextualSpacing/>
        <w:jc w:val="both"/>
        <w:rPr>
          <w:rFonts w:ascii="Cambria" w:hAnsi="Cambria" w:cs="Calibri" w:cstheme="minorHAnsi"/>
          <w:b/>
          <w:b/>
        </w:rPr>
      </w:pPr>
      <w:r>
        <w:rPr>
          <w:rFonts w:cs="Calibri" w:ascii="Cambria" w:hAnsi="Cambria" w:cstheme="minorHAnsi"/>
          <w:b/>
        </w:rPr>
        <w:t>Apesar de constituir segmento importante da sociedade brasileira, nenhuma proposta de reforma tributária em debate, atualmente, está prevendo um regime jurídico específico para as OSCs.</w:t>
      </w:r>
    </w:p>
    <w:p>
      <w:pPr>
        <w:pStyle w:val="Normal"/>
        <w:spacing w:before="0" w:after="0"/>
        <w:contextualSpacing/>
        <w:jc w:val="both"/>
        <w:rPr>
          <w:rFonts w:ascii="Cambria" w:hAnsi="Cambria" w:cs="Calibri" w:cstheme="minorHAnsi"/>
          <w:b/>
          <w:b/>
        </w:rPr>
      </w:pPr>
      <w:r>
        <w:rPr>
          <w:rFonts w:cs="Calibri" w:cstheme="minorHAnsi" w:ascii="Cambria" w:hAnsi="Cambria"/>
          <w:b/>
        </w:rPr>
      </w:r>
    </w:p>
    <w:p>
      <w:pPr>
        <w:pStyle w:val="04PargrafodeTextoCLG"/>
        <w:spacing w:before="0" w:after="0"/>
        <w:ind w:hanging="0"/>
        <w:rPr>
          <w:rFonts w:ascii="Cambria" w:hAnsi="Cambria" w:cs="Calibri" w:cstheme="minorHAnsi"/>
          <w:sz w:val="24"/>
          <w:szCs w:val="24"/>
        </w:rPr>
      </w:pPr>
      <w:r>
        <w:rPr>
          <w:rFonts w:cs="Calibri" w:ascii="Cambria" w:hAnsi="Cambria" w:cstheme="minorHAnsi"/>
          <w:sz w:val="24"/>
          <w:szCs w:val="24"/>
        </w:rPr>
        <w:t>As Organizações da Sociedade Civil (OSCs) são indispensáveis à democracia e ao Estado, na consecução das mais variadas finalidades de interesse público, como saúde, educação, assistência social, entre outras atividades que buscam a vida digna aos cidadãos, a proteção do meio ambiente e o combate às desigualdades.</w:t>
      </w:r>
    </w:p>
    <w:p>
      <w:pPr>
        <w:pStyle w:val="04PargrafodeTextoCLG"/>
        <w:spacing w:before="0" w:after="0"/>
        <w:ind w:hanging="0"/>
        <w:rPr>
          <w:rFonts w:ascii="Cambria" w:hAnsi="Cambria" w:cs="Calibri" w:cstheme="minorHAnsi"/>
          <w:sz w:val="24"/>
          <w:szCs w:val="24"/>
        </w:rPr>
      </w:pPr>
      <w:r>
        <w:rPr>
          <w:rFonts w:cs="Calibri" w:cstheme="minorHAnsi" w:ascii="Cambria" w:hAnsi="Cambria"/>
          <w:sz w:val="24"/>
          <w:szCs w:val="24"/>
        </w:rPr>
      </w:r>
    </w:p>
    <w:p>
      <w:pPr>
        <w:pStyle w:val="04PargrafodeTextoCLG"/>
        <w:spacing w:before="0" w:after="0"/>
        <w:ind w:hanging="0"/>
        <w:rPr>
          <w:rFonts w:ascii="Cambria" w:hAnsi="Cambria" w:cs="Calibri" w:cstheme="minorHAnsi"/>
          <w:sz w:val="24"/>
          <w:szCs w:val="24"/>
        </w:rPr>
      </w:pPr>
      <w:r>
        <w:rPr>
          <w:rFonts w:cs="Calibri" w:ascii="Cambria" w:hAnsi="Cambria" w:cstheme="minorHAnsi"/>
          <w:sz w:val="24"/>
          <w:szCs w:val="24"/>
        </w:rPr>
        <w:t xml:space="preserve">A crise econômica ocasionou a elevação do desemprego, expondo uma quantidade enorme de pessoas à situação de vulnerabilidade social. Diante desse cenário, o papel das OSCs tornou-se ainda mais necessário. Na medida em que o Estado não possui os recursos necessários à cobertura dos direitos sociais, ganha relevância a atuação das entidades privadas sem fins lucrativos e que prestam serviços altamente qualificados à população. </w:t>
      </w:r>
    </w:p>
    <w:p>
      <w:pPr>
        <w:pStyle w:val="Normal"/>
        <w:jc w:val="both"/>
        <w:rPr>
          <w:rFonts w:ascii="Cambria" w:hAnsi="Cambria" w:cs="Calibri" w:cstheme="minorHAnsi"/>
        </w:rPr>
      </w:pPr>
      <w:r>
        <w:rPr>
          <w:rFonts w:cs="Calibri" w:cstheme="minorHAnsi" w:ascii="Cambria" w:hAnsi="Cambria"/>
        </w:rPr>
      </w:r>
    </w:p>
    <w:p>
      <w:pPr>
        <w:pStyle w:val="Normal"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 xml:space="preserve">Para o enfrentamento da pandemia do novo coronavírus, é inegável a importância das OSCs. Basta notar que </w:t>
      </w:r>
      <w:r>
        <w:rPr>
          <w:rFonts w:cs="Calibri" w:ascii="Cambria" w:hAnsi="Cambria" w:cstheme="minorHAnsi"/>
          <w:color w:val="000000"/>
        </w:rPr>
        <w:t xml:space="preserve">o setor filantrópico oferece quase 40% dos leitos disponíveis no Sistema Único de Saúde (SUS), além de responder por mais da metade das internações de média e alta complexidade. </w:t>
      </w:r>
    </w:p>
    <w:p>
      <w:pPr>
        <w:pStyle w:val="04PargrafodeTextoCLG"/>
        <w:spacing w:before="0" w:after="0"/>
        <w:ind w:hanging="0"/>
        <w:rPr>
          <w:rFonts w:ascii="Cambria" w:hAnsi="Cambria" w:cs="Calibri" w:cstheme="minorHAnsi"/>
          <w:sz w:val="24"/>
          <w:szCs w:val="24"/>
        </w:rPr>
      </w:pPr>
      <w:r>
        <w:rPr>
          <w:rFonts w:cs="Calibri" w:cstheme="minorHAnsi" w:ascii="Cambria" w:hAnsi="Cambria"/>
          <w:sz w:val="24"/>
          <w:szCs w:val="24"/>
        </w:rPr>
      </w:r>
    </w:p>
    <w:p>
      <w:pPr>
        <w:pStyle w:val="05PargrafodetextoCLG"/>
        <w:spacing w:before="0" w:after="0"/>
        <w:ind w:hanging="0"/>
        <w:rPr>
          <w:rFonts w:ascii="Cambria" w:hAnsi="Cambria" w:cs="Calibri" w:cstheme="minorHAnsi"/>
          <w:color w:val="000000" w:themeColor="text1"/>
          <w:sz w:val="24"/>
          <w:szCs w:val="24"/>
          <w:lang w:val="pt-BR"/>
        </w:rPr>
      </w:pPr>
      <w:r>
        <w:rPr>
          <w:rFonts w:cs="Calibri" w:ascii="Cambria" w:hAnsi="Cambria" w:cstheme="minorHAnsi"/>
          <w:color w:val="000000" w:themeColor="text1"/>
          <w:sz w:val="24"/>
          <w:szCs w:val="24"/>
          <w:lang w:val="pt-BR"/>
        </w:rPr>
        <w:t xml:space="preserve">Através de seus programas e de suas ações, as OSCs promovem a superação de desigualdades, a defesa de direitos, a democracia, a inclusão social, a saúde, a educação e a assistência social, defendem o meio ambiente e fomentam pesquisas científicas, entre outros objetivos sociais. É por não terem fins lucrativos e trabalharem em causas de interesse público, trazendo benefícios à toda sociedade, que não faz sentido aplicar o mesmo regime tributário de entidades privadas às OSCs. </w:t>
      </w:r>
    </w:p>
    <w:p>
      <w:pPr>
        <w:pStyle w:val="05PargrafodetextoCLG"/>
        <w:spacing w:before="0" w:after="0"/>
        <w:ind w:hanging="0"/>
        <w:rPr>
          <w:rFonts w:ascii="Cambria" w:hAnsi="Cambria" w:cs="Calibri" w:cstheme="minorHAnsi"/>
          <w:color w:val="000000" w:themeColor="text1"/>
          <w:sz w:val="24"/>
          <w:szCs w:val="24"/>
          <w:lang w:val="pt-BR"/>
        </w:rPr>
      </w:pPr>
      <w:r>
        <w:rPr>
          <w:rFonts w:cs="Calibri" w:cstheme="minorHAnsi" w:ascii="Cambria" w:hAnsi="Cambria"/>
          <w:color w:val="000000" w:themeColor="text1"/>
          <w:sz w:val="24"/>
          <w:szCs w:val="24"/>
          <w:lang w:val="pt-BR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Segundo dados do IBGE, para cada um real de receita os governos (de todas as esferas da federação), estes transferem para as famílias R$ 0,43. Já as OSC, de cada um real, transferem R$ 0,58 - ou seja 35% a mais</w:t>
      </w:r>
      <w:r>
        <w:rPr>
          <w:rStyle w:val="Ncoradanotaderodap"/>
          <w:rFonts w:ascii="Cambria" w:hAnsi="Cambria"/>
        </w:rPr>
        <w:footnoteReference w:id="2"/>
      </w:r>
      <w:r>
        <w:rPr>
          <w:rFonts w:ascii="Cambria" w:hAnsi="Cambria"/>
        </w:rPr>
        <w:t>.</w:t>
      </w:r>
    </w:p>
    <w:p>
      <w:pPr>
        <w:pStyle w:val="05PargrafodetextoCLG"/>
        <w:spacing w:before="0" w:after="0"/>
        <w:ind w:hanging="0"/>
        <w:rPr>
          <w:rFonts w:ascii="Cambria" w:hAnsi="Cambria" w:cs="Calibri" w:cstheme="minorHAnsi"/>
          <w:color w:val="000000" w:themeColor="text1"/>
          <w:sz w:val="24"/>
          <w:szCs w:val="24"/>
          <w:lang w:val="pt-BR"/>
        </w:rPr>
      </w:pPr>
      <w:r>
        <w:rPr>
          <w:rFonts w:cs="Calibri" w:cstheme="minorHAnsi" w:ascii="Cambria" w:hAnsi="Cambria"/>
          <w:color w:val="000000" w:themeColor="text1"/>
          <w:sz w:val="24"/>
          <w:szCs w:val="24"/>
          <w:lang w:val="pt-BR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Segundo a PNAD contínua 2018, existiriam 8,4 milhões de voluntários no Brasil que trabalham em média 6,3 horas por semana ou 328 horas por ano. Esse tempo de trabalho equivale a 16,8% do tempo médio de um trabalhador brasileiro (37,5 horas/semana). Com base nessa relação, pode-se estimar que os 8,4 milhões de voluntários equivalem a 1 milhão de trabalhadores a tempo completo.  Ou seja, este número equivale a 2,9% do número de trabalhadores com carteira assinada ou a 9% do número dos trabalhadores do setor privado sem carteira assinada. Além disso, tal contingente de voluntários é 40% superior ao número de servidores ativos na área federal. Equivale também a 9% do numero de servidores públicos brasileiros (de todas as esferas da federação). Se as entidades tivessem de pagar esses voluntários, elas gastariam R$ 40,7 bilhões adicionais (cerca de 27% da receita atual). Se os governos tivessem de contratar e pagar esses voluntários, gastaria R$ 61 bilhões adicionais com sua folha de pagamento.  Se este contrato fosse com o governo federal, o gasto subiria para R$ 120 bilhões. Como se observa, pela ação das OSC, a sociedade e os governos recebem, gratuitamente, estes serviços.</w:t>
      </w:r>
      <w:r>
        <w:rPr>
          <w:rStyle w:val="Ncoradanotaderodap"/>
          <w:rFonts w:ascii="Cambria" w:hAnsi="Cambria"/>
        </w:rPr>
        <w:footnoteReference w:id="3"/>
      </w:r>
      <w:r>
        <w:rPr>
          <w:rFonts w:ascii="Cambria" w:hAnsi="Cambria"/>
        </w:rPr>
        <w:t xml:space="preserve">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As OSC empregam cerca de 2,2 milhões de trabalhadores (IBGE), recebendo salário médio idêntico a dos demais trabalhadores brasileiros.  Segundo a Receita Federal, as entidades isentas e imunes empregam 3,1 milhões de trabalhadores.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 xml:space="preserve">Chama a atenção o fato que, durante a discussão sobre desoneração da folha de pagamento de empresas, argumentava-se que a medida beneficiaria dezesseis setores que eram os maiores empregadores, congregando 6 milhões de trabalhadores. Ora, as OSC sozinhas contratam quase metade deste número! Se adicionarmos os voluntários a este número de trabalhadores, o universo seria de, pelo menos, 10 milhões de pessoas dedicadas ao bem comum! Tal montante é quase idêntico ao número total de servidores públicos da União, Estados e </w:t>
      </w:r>
      <w:r>
        <w:rPr>
          <w:rFonts w:ascii="Cambria" w:hAnsi="Cambria"/>
          <w:color w:val="000000" w:themeColor="text1"/>
        </w:rPr>
        <w:t>Municípios do Brasil.</w:t>
      </w:r>
    </w:p>
    <w:p>
      <w:pPr>
        <w:pStyle w:val="05PargrafodetextoCLG"/>
        <w:spacing w:before="0" w:after="0"/>
        <w:ind w:hanging="0"/>
        <w:rPr>
          <w:rFonts w:ascii="Cambria" w:hAnsi="Cambria" w:eastAsia="Calibri" w:cs="Calibri" w:cstheme="minorHAnsi" w:eastAsiaTheme="minorHAnsi"/>
          <w:b/>
          <w:b/>
          <w:color w:val="000000" w:themeColor="text1"/>
          <w:sz w:val="24"/>
          <w:szCs w:val="24"/>
          <w:lang w:val="pt-BR" w:eastAsia="en-US"/>
        </w:rPr>
      </w:pPr>
      <w:r>
        <w:rPr>
          <w:rFonts w:eastAsia="Calibri" w:cs="Calibri" w:cstheme="minorHAnsi" w:eastAsiaTheme="minorHAnsi" w:ascii="Cambria" w:hAnsi="Cambria"/>
          <w:b/>
          <w:color w:val="000000" w:themeColor="text1"/>
          <w:sz w:val="24"/>
          <w:szCs w:val="24"/>
          <w:lang w:val="pt-BR" w:eastAsia="en-US"/>
        </w:rPr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Segundo dados do Mapa das OSC do IPEA e da publicação “Perfil das OSC no Brasil” (IPEA-2018), os governos federal, estaduais e municipais transferiram recursos às OSC para realizar ações de interesse público da ordem de R$ 38,6 bilhões (em 2017). Quase 64% deste recurso foi dedicado à saúde, educação e assistência social</w:t>
      </w:r>
      <w:r>
        <w:rPr>
          <w:rStyle w:val="Ncoradanotaderodap"/>
          <w:rFonts w:ascii="Cambria" w:hAnsi="Cambria"/>
          <w:color w:val="000000" w:themeColor="text1"/>
        </w:rPr>
        <w:footnoteReference w:id="4"/>
      </w:r>
      <w:r>
        <w:rPr>
          <w:rFonts w:ascii="Cambria" w:hAnsi="Cambria"/>
          <w:color w:val="000000" w:themeColor="text1"/>
        </w:rPr>
        <w:t xml:space="preserve">. </w:t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Utilizando como referência as receitas totais das “instituições sem fins lucrativos a serviço das famílias” (Sistema de Contas Nacionais) este valor representa 24,7% do total de receitas das entidades. Ou seja, 75,3% dos recursos das OSC são de origem privado. Isto significa que, para cada real que os governos transferem as OSC, elas captam e oferecem à sociedade serviços gratuitos equivalentes a R$ 4,04. </w:t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Se sobre este valor financeiro for incluída a contribuição do voluntariado (como receita equivalente), a contribuição do governo passaria representar somente 20% da receita das OSC. Assim, se considerar o voluntariado, a oferta para sociedade passaria a ser de R$ 5,00 para cada real dos governos. </w:t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Mas se forem utilizados os dados da Receita Federal sobre entidades “isentas e imunes”, vê-se que as estas apresentam uma receita bruta de R$ 515 bilhões; nesta hipótese a contribuição dos governos às OSC significaria somente 7,5% da receita das OSC. Nesse caso, para cada real do governo, as entidades ofereceriam R$ 13,33 à sociedade.</w:t>
      </w:r>
    </w:p>
    <w:p>
      <w:pPr>
        <w:pStyle w:val="05PargrafodetextoCLG"/>
        <w:spacing w:before="0" w:after="0"/>
        <w:ind w:hanging="0"/>
        <w:rPr>
          <w:rFonts w:ascii="Cambria" w:hAnsi="Cambria" w:eastAsia="Calibri" w:cs="Calibri" w:cstheme="minorHAnsi" w:eastAsiaTheme="minorHAnsi"/>
          <w:b/>
          <w:b/>
          <w:color w:val="000000" w:themeColor="text1"/>
          <w:sz w:val="24"/>
          <w:szCs w:val="24"/>
          <w:lang w:val="pt-BR" w:eastAsia="en-US"/>
        </w:rPr>
      </w:pPr>
      <w:r>
        <w:rPr>
          <w:rFonts w:eastAsia="Calibri" w:cs="Calibri" w:cstheme="minorHAnsi" w:eastAsiaTheme="minorHAnsi" w:ascii="Cambria" w:hAnsi="Cambria"/>
          <w:b/>
          <w:color w:val="000000" w:themeColor="text1"/>
          <w:sz w:val="24"/>
          <w:szCs w:val="24"/>
          <w:lang w:val="pt-BR" w:eastAsia="en-US"/>
        </w:rPr>
      </w:r>
    </w:p>
    <w:p>
      <w:pPr>
        <w:pStyle w:val="Normal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</w:rPr>
        <w:t xml:space="preserve">As OSC pagam impostos. E muito. Dados recente publicados pela SRF (2018) mostram que as </w:t>
      </w:r>
      <w:r>
        <w:rPr>
          <w:rFonts w:ascii="Cambria" w:hAnsi="Cambria"/>
          <w:color w:val="000000" w:themeColor="text1"/>
          <w:u w:val="single"/>
        </w:rPr>
        <w:t>entidades “isentas e imunes” pagam anualmente 11,9% de suas receitas como impostos, taxas, contribuições previdenciárias. As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  <w:u w:val="single"/>
        </w:rPr>
        <w:t xml:space="preserve">empresas operando em “Lucro real” pagam tributos de 7% de sua receita. As empresas de “lucro presumido” pagam 8,7% e os declarantes em SIMPLES e MEI pagam somente 2% de suas receitas. </w:t>
      </w:r>
    </w:p>
    <w:p>
      <w:pPr>
        <w:pStyle w:val="Normal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</w:r>
    </w:p>
    <w:p>
      <w:pPr>
        <w:pStyle w:val="Normal"/>
        <w:jc w:val="both"/>
        <w:rPr>
          <w:rFonts w:ascii="Cambria" w:hAnsi="Cambria"/>
          <w:b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O gasto tributário total previsto para as OSC em 2018 chegou a R$24,3 bilhões (R$ 11,1 bi das filantrópicas com a Previdência e R$ 13,2 bi todas as demais entidades com isenções).</w:t>
      </w:r>
      <w:r>
        <w:rPr>
          <w:rFonts w:ascii="Cambria" w:hAnsi="Cambria"/>
          <w:b/>
          <w:color w:val="000000" w:themeColor="text1"/>
        </w:rPr>
        <w:t xml:space="preserve"> Mas tal gasto tributário com OSC representa somente 8% da renúncia tributária do país. Significa que 92% da renúncia tributária é dada a pessoas e empresas que operam para benefício próprio e não de toda a comunidade, como as OSC.  </w:t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Estudo do FONIF (entidades filantrópicas) mostra que, para cada real de gasto tributário, as entidades chegam a oferecer R$ 7,00 em gratuidades.</w:t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cs="Calibri" w:ascii="Cambria" w:hAnsi="Cambria" w:cstheme="minorHAnsi"/>
          <w:color w:val="000000" w:themeColor="text1"/>
        </w:rPr>
        <w:t>A</w:t>
      </w:r>
      <w:r>
        <w:rPr>
          <w:rFonts w:ascii="Cambria" w:hAnsi="Cambria"/>
          <w:color w:val="000000" w:themeColor="text1"/>
        </w:rPr>
        <w:t xml:space="preserve">s entidades imunes e isentas mobilizam R$ 157,0 bilhões de recursos privados (R$ 117 bilhões em recursos financeiros e R$ 40 bilhões em voluntariado). Em resumo, para cada real de gasto tributário (renuncia fiscal) realizado pelos governos, as entidades oferecem R$ 6,46 para a sociedade e, destes, R$3,77 são transferências em espécie para as famílias carentes.   Este mesmo recurso nas mãos dos governos geraria 35% a menos de benefícios para as famílias. </w:t>
      </w:r>
    </w:p>
    <w:p>
      <w:pPr>
        <w:pStyle w:val="05PargrafodetextoCLG"/>
        <w:spacing w:before="0" w:after="0"/>
        <w:ind w:hanging="0"/>
        <w:rPr>
          <w:rFonts w:ascii="Cambria" w:hAnsi="Cambria" w:eastAsia="Calibri" w:cs="Calibri" w:cstheme="minorHAnsi" w:eastAsiaTheme="minorHAnsi"/>
          <w:b/>
          <w:b/>
          <w:color w:val="000000" w:themeColor="text1"/>
          <w:sz w:val="24"/>
          <w:szCs w:val="24"/>
          <w:lang w:val="pt-BR" w:eastAsia="en-US"/>
        </w:rPr>
      </w:pPr>
      <w:r>
        <w:rPr>
          <w:rFonts w:eastAsia="Calibri" w:cs="Calibri" w:cstheme="minorHAnsi" w:eastAsiaTheme="minorHAnsi" w:ascii="Cambria" w:hAnsi="Cambria"/>
          <w:b/>
          <w:color w:val="000000" w:themeColor="text1"/>
          <w:sz w:val="24"/>
          <w:szCs w:val="24"/>
          <w:lang w:val="pt-BR" w:eastAsia="en-US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 xml:space="preserve">O setor de entidades que prestam serviços às famílias - caso das OSC - é o setor que mais gera emprego na economia brasileira. Segundo estudo do BNDES, para cada milhão de reais de aumento de renda, a OSC gera 108 empregos (diretos e indiretos). No comércio, esse mesmo nível de investimento geraria 80 empregos; na indústria, em geral, esse valor geraria entre 30e 50 empregos; mesmo a construção civil –considerada como grande gerador de emprego - gera somente 53 empregos. Portanto, se </w:t>
      </w:r>
      <w:r>
        <w:rPr>
          <w:rFonts w:ascii="Cambria" w:hAnsi="Cambria"/>
        </w:rPr>
        <w:t>perder 1 milhão de renda, perde 108 empregos</w:t>
      </w:r>
      <w:r>
        <w:rPr>
          <w:rStyle w:val="Ncoradanotaderodap"/>
          <w:rFonts w:ascii="Cambria" w:hAnsi="Cambria"/>
        </w:rPr>
        <w:footnoteReference w:id="5"/>
      </w:r>
      <w:r>
        <w:rPr>
          <w:rFonts w:ascii="Cambria" w:hAnsi="Cambria"/>
        </w:rPr>
        <w:t>.</w:t>
      </w:r>
    </w:p>
    <w:p>
      <w:pPr>
        <w:pStyle w:val="05PargrafodetextoCLG"/>
        <w:spacing w:before="0" w:after="0"/>
        <w:ind w:hanging="0"/>
        <w:rPr>
          <w:rFonts w:ascii="Cambria" w:hAnsi="Cambria" w:eastAsia="Calibri" w:cs="Calibri" w:cstheme="minorHAnsi" w:eastAsiaTheme="minorHAnsi"/>
          <w:b/>
          <w:b/>
          <w:color w:val="000000" w:themeColor="text1"/>
          <w:sz w:val="24"/>
          <w:szCs w:val="24"/>
          <w:lang w:val="pt-BR" w:eastAsia="en-US"/>
        </w:rPr>
      </w:pPr>
      <w:r>
        <w:rPr>
          <w:rFonts w:eastAsia="Calibri" w:cs="Calibri" w:cstheme="minorHAnsi" w:eastAsiaTheme="minorHAnsi" w:ascii="Cambria" w:hAnsi="Cambria"/>
          <w:b/>
          <w:color w:val="000000" w:themeColor="text1"/>
          <w:sz w:val="24"/>
          <w:szCs w:val="24"/>
          <w:lang w:val="pt-BR" w:eastAsia="en-US"/>
        </w:rPr>
      </w:r>
    </w:p>
    <w:p>
      <w:pPr>
        <w:pStyle w:val="05PargrafodetextoCLG"/>
        <w:spacing w:before="0" w:after="0"/>
        <w:ind w:hanging="0"/>
        <w:rPr>
          <w:rFonts w:ascii="Cambria" w:hAnsi="Cambria" w:cs="Calibri" w:cstheme="minorHAnsi"/>
          <w:b/>
          <w:b/>
          <w:sz w:val="24"/>
          <w:szCs w:val="24"/>
          <w:lang w:val="pt-BR"/>
        </w:rPr>
      </w:pPr>
      <w:r>
        <w:rPr>
          <w:rFonts w:eastAsia="Calibri" w:cs="Calibri" w:ascii="Cambria" w:hAnsi="Cambria" w:cstheme="minorHAnsi" w:eastAsiaTheme="minorHAnsi"/>
          <w:b/>
          <w:color w:val="000000" w:themeColor="text1"/>
          <w:sz w:val="24"/>
          <w:szCs w:val="24"/>
          <w:lang w:val="pt-BR" w:eastAsia="en-US"/>
        </w:rPr>
        <w:t>A</w:t>
      </w:r>
      <w:r>
        <w:rPr>
          <w:rFonts w:cs="Calibri" w:ascii="Cambria" w:hAnsi="Cambria" w:cstheme="minorHAnsi"/>
          <w:b/>
          <w:color w:val="000000" w:themeColor="text1"/>
          <w:sz w:val="24"/>
          <w:szCs w:val="24"/>
          <w:lang w:val="pt-BR"/>
        </w:rPr>
        <w:t xml:space="preserve"> emenda acima apresentada tem como objetivo inserir previsão constitucional de tratamento </w:t>
      </w:r>
      <w:r>
        <w:rPr>
          <w:rFonts w:cs="Calibri" w:ascii="Cambria" w:hAnsi="Cambria" w:cstheme="minorHAnsi"/>
          <w:b/>
          <w:sz w:val="24"/>
          <w:szCs w:val="24"/>
          <w:lang w:val="pt-BR"/>
        </w:rPr>
        <w:t xml:space="preserve">jurídico específico para as Organizações da Sociedade Civil, a ser regulamentado posteriormente. </w:t>
      </w:r>
    </w:p>
    <w:p>
      <w:pPr>
        <w:pStyle w:val="Normal"/>
        <w:spacing w:before="0" w:after="0"/>
        <w:contextualSpacing/>
        <w:jc w:val="both"/>
        <w:rPr>
          <w:rFonts w:ascii="Cambria" w:hAnsi="Cambria" w:cs="Calibri" w:cstheme="minorHAnsi"/>
        </w:rPr>
      </w:pPr>
      <w:r>
        <w:rPr>
          <w:rFonts w:cs="Calibri" w:cstheme="minorHAnsi" w:ascii="Cambria" w:hAnsi="Cambria"/>
        </w:rPr>
      </w:r>
    </w:p>
    <w:p>
      <w:pPr>
        <w:pStyle w:val="Normal"/>
        <w:spacing w:before="0" w:after="0"/>
        <w:contextualSpacing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>Tal medida se justifica porque as organizações sem fins lucrativos contam com uma série de particularidades e características específicas que as diferem das demais instituições.</w:t>
      </w:r>
    </w:p>
    <w:p>
      <w:pPr>
        <w:pStyle w:val="Normal"/>
        <w:spacing w:before="0" w:after="0"/>
        <w:contextualSpacing/>
        <w:jc w:val="both"/>
        <w:rPr>
          <w:rFonts w:ascii="Cambria" w:hAnsi="Cambria" w:cs="Calibri" w:cstheme="minorHAnsi"/>
        </w:rPr>
      </w:pPr>
      <w:r>
        <w:rPr>
          <w:rFonts w:cs="Calibri" w:cstheme="minorHAnsi" w:ascii="Cambria" w:hAnsi="Cambria"/>
        </w:rPr>
      </w:r>
    </w:p>
    <w:p>
      <w:pPr>
        <w:pStyle w:val="Normal"/>
        <w:spacing w:before="0" w:after="0"/>
        <w:contextualSpacing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>Por fim, importa esclarecer que a Lei 13.019/2014 já traz o conceito jurídico de “organizações da sociedade civil”.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É pelas razões acima expressas que se solicita o apoiamento dos nobres Pares para que tal modificação da Constituição seja incorporada na chamada Reforma Constitucional Tributária.</w:t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720" w:right="720" w:header="142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jc w:val="both"/>
        <w:rPr/>
      </w:pPr>
      <w:r>
        <w:rPr>
          <w:rStyle w:val="Caracteresdenotaderodap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hyperlink r:id="rId1">
        <w:r>
          <w:rPr>
            <w:rStyle w:val="LinkdaInternet"/>
            <w:rFonts w:ascii="Cambria" w:hAnsi="Cambria"/>
            <w:sz w:val="16"/>
            <w:szCs w:val="16"/>
          </w:rPr>
          <w:t>https://www.ibge.gov.br/estatisticas/economicas/contas-nacionais/9052-sistema-de-contas-nacionais-brasil.html?=&amp;t=resultados</w:t>
        </w:r>
      </w:hyperlink>
    </w:p>
  </w:footnote>
  <w:footnote w:id="3">
    <w:p>
      <w:pPr>
        <w:pStyle w:val="Notaderodap"/>
        <w:jc w:val="both"/>
        <w:rPr/>
      </w:pPr>
      <w:r>
        <w:rPr>
          <w:rStyle w:val="Caracteresdenotaderodap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hyperlink r:id="rId2">
        <w:r>
          <w:rPr>
            <w:rStyle w:val="LinkdaInternet"/>
            <w:rFonts w:ascii="Cambria" w:hAnsi="Cambria"/>
            <w:sz w:val="16"/>
            <w:szCs w:val="16"/>
          </w:rPr>
          <w:t>https://www.ibge.gov.br/estatisticas/sociais/populacao/17270-pnad-continua.html?edicao=20636&amp;t=resultados</w:t>
        </w:r>
      </w:hyperlink>
      <w:r>
        <w:rPr>
          <w:rFonts w:ascii="Cambria" w:hAnsi="Cambria"/>
          <w:sz w:val="16"/>
          <w:szCs w:val="16"/>
        </w:rPr>
        <w:t xml:space="preserve"> e </w:t>
      </w:r>
      <w:hyperlink r:id="rId3">
        <w:r>
          <w:rPr>
            <w:rStyle w:val="LinkdaInternet"/>
            <w:rFonts w:ascii="Cambria" w:hAnsi="Cambria"/>
            <w:sz w:val="16"/>
            <w:szCs w:val="16"/>
          </w:rPr>
          <w:t>https://mapaosc.ipea.gov.br/base-dados.html</w:t>
        </w:r>
      </w:hyperlink>
    </w:p>
  </w:footnote>
  <w:footnote w:id="4">
    <w:p>
      <w:pPr>
        <w:pStyle w:val="Notaderodap"/>
        <w:jc w:val="both"/>
        <w:rPr/>
      </w:pPr>
      <w:r>
        <w:rPr>
          <w:rStyle w:val="Caracteresdenotaderodap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hyperlink r:id="rId4">
        <w:r>
          <w:rPr>
            <w:rStyle w:val="LinkdaInternet"/>
            <w:rFonts w:ascii="Cambria" w:hAnsi="Cambria"/>
            <w:sz w:val="16"/>
            <w:szCs w:val="16"/>
          </w:rPr>
          <w:t>https://www.ibge.gov.br/estatisticas/economicas/contas-nacionais/9052-sistema-de-contas-nacionais-brasil.html?=&amp;t=resultados</w:t>
        </w:r>
      </w:hyperlink>
      <w:r>
        <w:rPr>
          <w:rFonts w:ascii="Cambria" w:hAnsi="Cambria"/>
          <w:sz w:val="16"/>
          <w:szCs w:val="16"/>
        </w:rPr>
        <w:t xml:space="preserve">;  </w:t>
      </w:r>
      <w:hyperlink r:id="rId5">
        <w:r>
          <w:rPr>
            <w:rStyle w:val="LinkdaInternet"/>
            <w:rFonts w:ascii="Cambria" w:hAnsi="Cambria"/>
            <w:sz w:val="16"/>
            <w:szCs w:val="16"/>
          </w:rPr>
          <w:t>https://mapaosc.ipea.gov.br/base-dados.html</w:t>
        </w:r>
      </w:hyperlink>
      <w:r>
        <w:rPr>
          <w:rFonts w:ascii="Cambria" w:hAnsi="Cambria"/>
          <w:sz w:val="16"/>
          <w:szCs w:val="16"/>
        </w:rPr>
        <w:t xml:space="preserve">  e </w:t>
      </w:r>
      <w:hyperlink r:id="rId6">
        <w:r>
          <w:rPr>
            <w:rStyle w:val="LinkdaInternet"/>
            <w:rFonts w:ascii="Cambria" w:hAnsi="Cambria"/>
            <w:sz w:val="16"/>
            <w:szCs w:val="16"/>
          </w:rPr>
          <w:t>http://receita.economia.gov.br/dados/receitadata/estudos-e-tributarios-e-aduaneiros/estudos-e-estatisticas/estudos-diversos/dados-informacoes-e-graficos-setoriais-2009-a-2018</w:t>
        </w:r>
      </w:hyperlink>
    </w:p>
  </w:footnote>
  <w:footnote w:id="5">
    <w:p>
      <w:pPr>
        <w:pStyle w:val="Normal"/>
        <w:ind w:left="708" w:hanging="708"/>
        <w:jc w:val="both"/>
        <w:rPr/>
      </w:pPr>
      <w:r>
        <w:rPr>
          <w:rStyle w:val="Caracteresdenotaderodap"/>
        </w:rPr>
        <w:footnoteRef/>
      </w:r>
      <w:r>
        <w:rPr>
          <w:rFonts w:ascii="Cambria" w:hAnsi="Cambria"/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 xml:space="preserve">Fonte: </w:t>
      </w:r>
      <w:hyperlink r:id="rId7">
        <w:r>
          <w:rPr>
            <w:rStyle w:val="LinkdaInternet"/>
            <w:rFonts w:ascii="Cambria" w:hAnsi="Cambria"/>
            <w:sz w:val="16"/>
            <w:szCs w:val="16"/>
          </w:rPr>
          <w:t>https://web.bndes.gov.br/bib/jspui/handle/1408/9641?mode=full</w:t>
        </w:r>
      </w:hyperlink>
      <w:r>
        <w:rPr>
          <w:rFonts w:ascii="Cambria" w:hAnsi="Cambria"/>
          <w:sz w:val="16"/>
          <w:szCs w:val="16"/>
        </w:rPr>
        <w:t xml:space="preserve"> (pag 4)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1769110" cy="495935"/>
          <wp:effectExtent l="0" t="0" r="0" b="0"/>
          <wp:docPr id="1" name="Imagem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156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b564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b5646"/>
    <w:rPr>
      <w:sz w:val="22"/>
      <w:szCs w:val="22"/>
    </w:rPr>
  </w:style>
  <w:style w:type="character" w:styleId="LinkdaInternet">
    <w:name w:val="Link da Internet"/>
    <w:basedOn w:val="DefaultParagraphFont"/>
    <w:uiPriority w:val="99"/>
    <w:unhideWhenUsed/>
    <w:rsid w:val="007b5646"/>
    <w:rPr>
      <w:color w:val="0563C1" w:themeColor="hyperlink"/>
      <w:u w:val="single"/>
    </w:rPr>
  </w:style>
  <w:style w:type="character" w:styleId="05PargrafodetextoCLGChar" w:customStyle="1">
    <w:name w:val="05 - Parágrafo de texto - CLG Char"/>
    <w:link w:val="05-Pargrafodetexto-CLG"/>
    <w:qFormat/>
    <w:rsid w:val="007b5646"/>
    <w:rPr>
      <w:rFonts w:ascii="Times New Roman" w:hAnsi="Times New Roman" w:eastAsia="Times New Roman" w:cs="Times New Roman"/>
      <w:sz w:val="28"/>
      <w:szCs w:val="20"/>
      <w:lang w:val="en-US" w:eastAsia="pt-BR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b5646"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7b5646"/>
    <w:rPr>
      <w:sz w:val="20"/>
      <w:szCs w:val="20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b5646"/>
    <w:pPr>
      <w:tabs>
        <w:tab w:val="clear" w:pos="708"/>
        <w:tab w:val="center" w:pos="4252" w:leader="none"/>
        <w:tab w:val="right" w:pos="8504" w:leader="none"/>
      </w:tabs>
      <w:jc w:val="center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04PargrafodeTextoCLG" w:customStyle="1">
    <w:name w:val="04 - Parágrafo de Texto - CLG"/>
    <w:qFormat/>
    <w:rsid w:val="007b5646"/>
    <w:pPr>
      <w:widowControl/>
      <w:bidi w:val="0"/>
      <w:spacing w:before="0" w:after="120"/>
      <w:ind w:firstLine="144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pt-BR" w:val="pt-BR" w:bidi="ar-SA"/>
    </w:rPr>
  </w:style>
  <w:style w:type="paragraph" w:styleId="05PargrafodetextoCLG" w:customStyle="1">
    <w:name w:val="05 - Parágrafo de texto - CLG"/>
    <w:link w:val="05-Pargrafodetexto-CLGChar"/>
    <w:qFormat/>
    <w:rsid w:val="007b5646"/>
    <w:pPr>
      <w:widowControl/>
      <w:bidi w:val="0"/>
      <w:spacing w:before="0" w:after="360"/>
      <w:ind w:firstLine="1418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en-US" w:eastAsia="pt-BR" w:bidi="ar-SA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7b5646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ibge.gov.br/estatisticas/economicas/contas-nacionais/9052-sistema-de-contas-nacionais-brasil.html?=&amp;t=resultados" TargetMode="External"/><Relationship Id="rId2" Type="http://schemas.openxmlformats.org/officeDocument/2006/relationships/hyperlink" Target="https://www.ibge.gov.br/estatisticas/sociais/populacao/17270-pnad-continua.html?edicao=20636&amp;t=resultados" TargetMode="External"/><Relationship Id="rId3" Type="http://schemas.openxmlformats.org/officeDocument/2006/relationships/hyperlink" Target="https://mapaosc.ipea.gov.br/base-dados.html" TargetMode="External"/><Relationship Id="rId4" Type="http://schemas.openxmlformats.org/officeDocument/2006/relationships/hyperlink" Target="https://www.ibge.gov.br/estatisticas/economicas/contas-nacionais/9052-sistema-de-contas-nacionais-brasil.html?=&amp;t=resultados" TargetMode="External"/><Relationship Id="rId5" Type="http://schemas.openxmlformats.org/officeDocument/2006/relationships/hyperlink" Target="https://mapaosc.ipea.gov.br/base-dados.html" TargetMode="External"/><Relationship Id="rId6" Type="http://schemas.openxmlformats.org/officeDocument/2006/relationships/hyperlink" Target="http://receita.economia.gov.br/dados/receitadata/estudos-e-tributarios-e-aduaneiros/estudos-e-estatisticas/estudos-diversos/dados-informacoes-e-graficos-setoriais-2009-a-2018" TargetMode="External"/><Relationship Id="rId7" Type="http://schemas.openxmlformats.org/officeDocument/2006/relationships/hyperlink" Target="https://web.bndes.gov.br/bib/jspui/handle/1408/9641?mode=ful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Neat_Office/6.2.8.2$Windows_x86 LibreOffice_project/</Application>
  <Pages>3</Pages>
  <Words>1383</Words>
  <Characters>8322</Characters>
  <CharactersWithSpaces>9688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2020-12-06T15:56:00Z</dcterms:created>
  <dc:creator>Microsoft Office User</dc:creator>
  <dc:description/>
  <dc:language>pt-BR</dc:language>
  <cp:lastModifiedBy>Microsoft Office User</cp:lastModifiedBy>
  <dcterms:modified xsi:type="dcterms:W3CDTF">2020-12-06T16:04:00Z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