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jc w:val="center"/>
        <w:rPr>
          <w:rFonts w:cs="Arial"/>
          <w:b/>
          <w:b/>
          <w:bCs/>
          <w:color w:val="222222"/>
        </w:rPr>
      </w:pPr>
      <w:r>
        <w:rPr>
          <w:rFonts w:ascii="Cambria" w:hAnsi="Cambria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-320675</wp:posOffset>
            </wp:positionV>
            <wp:extent cx="5400040" cy="13493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0" w:after="0"/>
        <w:jc w:val="center"/>
        <w:rPr>
          <w:rFonts w:ascii="Cambria" w:hAnsi="Cambria"/>
          <w:sz w:val="28"/>
          <w:szCs w:val="28"/>
        </w:rPr>
      </w:pPr>
      <w:r>
        <w:rPr>
          <w:rFonts w:cs="Arial" w:ascii="Cambria" w:hAnsi="Cambria"/>
          <w:b/>
          <w:bCs/>
          <w:color w:val="222222"/>
          <w:sz w:val="28"/>
          <w:szCs w:val="28"/>
        </w:rPr>
        <w:t>G</w:t>
      </w:r>
      <w:r>
        <w:rPr>
          <w:rFonts w:cs="Arial" w:ascii="Cambria" w:hAnsi="Cambria"/>
          <w:b/>
          <w:bCs/>
          <w:color w:val="222222"/>
          <w:sz w:val="28"/>
          <w:szCs w:val="28"/>
        </w:rPr>
        <w:t xml:space="preserve">rupo de Trabalho Interiorização e Formação </w:t>
      </w:r>
    </w:p>
    <w:p>
      <w:pPr>
        <w:pStyle w:val="Corpodotexto"/>
        <w:spacing w:before="0" w:after="0"/>
        <w:jc w:val="center"/>
        <w:rPr>
          <w:rFonts w:ascii="Cambria" w:hAnsi="Cambria"/>
          <w:sz w:val="28"/>
          <w:szCs w:val="28"/>
        </w:rPr>
      </w:pPr>
      <w:r>
        <w:rPr>
          <w:rFonts w:cs="Arial" w:ascii="Cambria" w:hAnsi="Cambria"/>
          <w:b/>
          <w:bCs/>
          <w:color w:val="222222"/>
          <w:sz w:val="28"/>
          <w:szCs w:val="28"/>
        </w:rPr>
        <w:t>da Plataforma MROSC</w:t>
      </w:r>
    </w:p>
    <w:p>
      <w:pPr>
        <w:pStyle w:val="Corpodotexto"/>
        <w:spacing w:before="0" w:after="0"/>
        <w:jc w:val="center"/>
        <w:rPr>
          <w:rFonts w:cs="Arial"/>
          <w:color w:val="222222"/>
        </w:rPr>
      </w:pPr>
      <w:r>
        <w:rPr>
          <w:rFonts w:ascii="Cambria" w:hAnsi="Cambria"/>
          <w:sz w:val="28"/>
          <w:szCs w:val="28"/>
        </w:rPr>
      </w:r>
    </w:p>
    <w:p>
      <w:pPr>
        <w:pStyle w:val="Corpodotexto"/>
        <w:spacing w:lineRule="auto" w:line="240" w:before="0" w:after="0"/>
        <w:jc w:val="both"/>
        <w:rPr>
          <w:sz w:val="28"/>
          <w:szCs w:val="28"/>
        </w:rPr>
      </w:pPr>
      <w:r>
        <w:rPr>
          <w:rFonts w:cs="Arial" w:ascii="Cambria" w:hAnsi="Cambria"/>
          <w:b/>
          <w:color w:val="222222"/>
          <w:sz w:val="28"/>
          <w:szCs w:val="28"/>
        </w:rPr>
        <w:t>Introdução</w:t>
      </w:r>
    </w:p>
    <w:p>
      <w:pPr>
        <w:pStyle w:val="Corpodotexto"/>
        <w:spacing w:lineRule="auto" w:line="240" w:before="0" w:after="0"/>
        <w:jc w:val="both"/>
        <w:rPr>
          <w:rFonts w:ascii="Cambria" w:hAnsi="Cambria" w:cs="Arial"/>
          <w:b/>
          <w:b/>
          <w:color w:val="222222"/>
          <w:sz w:val="24"/>
          <w:szCs w:val="24"/>
        </w:rPr>
      </w:pPr>
      <w:r>
        <w:rPr/>
      </w:r>
    </w:p>
    <w:p>
      <w:pPr>
        <w:pStyle w:val="Corpodotexto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color w:val="222222"/>
          <w:szCs w:val="28"/>
        </w:rPr>
      </w:pPr>
      <w:r>
        <w:rPr>
          <w:rFonts w:cs="Arial" w:ascii="Cambria" w:hAnsi="Cambria"/>
          <w:b w:val="false"/>
          <w:bCs w:val="false"/>
          <w:color w:val="222222"/>
          <w:sz w:val="24"/>
          <w:szCs w:val="24"/>
        </w:rPr>
        <w:t>A proposta a seguir apresentada é fruto das deliberações do VII Encontro Nacional das Signatárias que recomenda ao Comitê Facilitador que constituísse um Grupo de Trabalho voltado para o avanço da Plataforma MROSC em ações de interiorização e formação.</w:t>
      </w:r>
    </w:p>
    <w:p>
      <w:pPr>
        <w:pStyle w:val="Corpodotexto"/>
        <w:spacing w:lineRule="auto" w:line="240" w:before="0" w:after="0"/>
        <w:jc w:val="both"/>
        <w:rPr>
          <w:rFonts w:ascii="Cambria" w:hAnsi="Cambria" w:cs="Arial"/>
          <w:b/>
          <w:b/>
          <w:color w:val="222222"/>
          <w:sz w:val="24"/>
          <w:szCs w:val="24"/>
        </w:rPr>
      </w:pPr>
      <w:r>
        <w:rPr>
          <w:rFonts w:cs="Arial" w:ascii="Cambria" w:hAnsi="Cambria"/>
          <w:b/>
          <w:color w:val="222222"/>
          <w:sz w:val="24"/>
          <w:szCs w:val="24"/>
        </w:rPr>
      </w:r>
    </w:p>
    <w:p>
      <w:pPr>
        <w:pStyle w:val="Corpodotexto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cs="Arial" w:ascii="Cambria" w:hAnsi="Cambria"/>
          <w:b/>
          <w:color w:val="222222"/>
          <w:sz w:val="28"/>
          <w:szCs w:val="28"/>
        </w:rPr>
        <w:t>Princípios do GT</w:t>
      </w:r>
    </w:p>
    <w:p>
      <w:pPr>
        <w:pStyle w:val="Corpodotexto"/>
        <w:spacing w:lineRule="auto" w:line="240" w:before="0" w:after="0"/>
        <w:jc w:val="both"/>
        <w:rPr>
          <w:rFonts w:cs="Arial"/>
          <w:b/>
          <w:b/>
          <w:color w:val="222222"/>
        </w:rPr>
      </w:pPr>
      <w:r>
        <w:rPr>
          <w:rFonts w:ascii="Cambria" w:hAnsi="Cambria"/>
          <w:sz w:val="28"/>
          <w:szCs w:val="28"/>
        </w:rPr>
      </w:r>
    </w:p>
    <w:p>
      <w:pPr>
        <w:pStyle w:val="Corpodotexto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  <w:t>Partir das experiências reais vividas pelas lideranças das OSC, explicitar e detalhar as condições operacionais, ambiente político, institucional e valorar a ação desenvolvida com suas falhas e sucessos proporcionando um espaço de escuta da Plataforma MROSC com as Signatárias.</w:t>
      </w:r>
    </w:p>
    <w:p>
      <w:pPr>
        <w:pStyle w:val="Corpodotexto"/>
        <w:spacing w:lineRule="auto" w:line="240" w:before="0" w:after="0"/>
        <w:jc w:val="both"/>
        <w:rPr>
          <w:rFonts w:ascii="Cambria" w:hAnsi="Cambria" w:cs="Arial"/>
          <w:color w:val="222222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</w:r>
    </w:p>
    <w:p>
      <w:pPr>
        <w:pStyle w:val="Corpodotexto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cs="Arial" w:ascii="Cambria" w:hAnsi="Cambria"/>
          <w:b/>
          <w:bCs/>
          <w:color w:val="222222"/>
          <w:sz w:val="28"/>
          <w:szCs w:val="28"/>
        </w:rPr>
        <w:t>Elemento principal do processo</w:t>
      </w:r>
    </w:p>
    <w:p>
      <w:pPr>
        <w:pStyle w:val="Corpodotexto"/>
        <w:spacing w:lineRule="auto" w:line="240" w:before="0" w:after="0"/>
        <w:jc w:val="both"/>
        <w:rPr>
          <w:rFonts w:cs="Arial"/>
          <w:b/>
          <w:b/>
          <w:bCs/>
          <w:color w:val="222222"/>
        </w:rPr>
      </w:pPr>
      <w:r>
        <w:rPr>
          <w:rFonts w:ascii="Cambria" w:hAnsi="Cambria"/>
          <w:sz w:val="24"/>
          <w:szCs w:val="24"/>
        </w:rPr>
      </w:r>
    </w:p>
    <w:p>
      <w:pPr>
        <w:pStyle w:val="Corpodotexto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  <w:t>Fort</w:t>
      </w:r>
      <w:r>
        <w:rPr>
          <w:rFonts w:cs="Arial" w:ascii="Cambria" w:hAnsi="Cambria"/>
          <w:color w:val="222222"/>
          <w:sz w:val="24"/>
          <w:szCs w:val="24"/>
        </w:rPr>
        <w:t>alecer as</w:t>
      </w:r>
      <w:r>
        <w:rPr>
          <w:rFonts w:cs="Arial" w:ascii="Cambria" w:hAnsi="Cambria"/>
          <w:color w:val="222222"/>
          <w:sz w:val="24"/>
          <w:szCs w:val="24"/>
        </w:rPr>
        <w:t xml:space="preserve"> OSC em todo o Brasil e </w:t>
      </w:r>
      <w:r>
        <w:rPr>
          <w:rFonts w:cs="Arial" w:ascii="Cambria" w:hAnsi="Cambria"/>
          <w:color w:val="000000"/>
          <w:sz w:val="24"/>
          <w:szCs w:val="24"/>
        </w:rPr>
        <w:t xml:space="preserve">propiciar o conhecimento e valorização da proposta da Plataforma MROSC em sua amplitude, seus eixos e destacando, também, a importância da defesa de direitos e da participação cidadã. </w:t>
      </w:r>
    </w:p>
    <w:p>
      <w:pPr>
        <w:pStyle w:val="Corpodotexto"/>
        <w:spacing w:lineRule="auto" w:line="240" w:before="0" w:after="0"/>
        <w:jc w:val="both"/>
        <w:rPr>
          <w:rFonts w:ascii="Cambria" w:hAnsi="Cambria" w:cs="Arial"/>
          <w:color w:val="222222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</w:r>
    </w:p>
    <w:p>
      <w:pPr>
        <w:pStyle w:val="Corpodotexto"/>
        <w:spacing w:lineRule="auto" w:line="240" w:before="0" w:after="0"/>
        <w:jc w:val="both"/>
        <w:rPr>
          <w:rFonts w:ascii="Arial" w:hAnsi="Arial" w:cs="Arial"/>
          <w:color w:val="222222"/>
          <w:szCs w:val="28"/>
        </w:rPr>
      </w:pPr>
      <w:r>
        <w:rPr>
          <w:rFonts w:cs="Arial" w:ascii="Cambria" w:hAnsi="Cambria"/>
          <w:color w:val="222222"/>
          <w:sz w:val="24"/>
          <w:szCs w:val="24"/>
        </w:rPr>
        <w:t>Para tanto precisamos antecipadamente:</w:t>
      </w:r>
    </w:p>
    <w:p>
      <w:pPr>
        <w:pStyle w:val="Corpodotexto"/>
        <w:spacing w:lineRule="auto" w:line="240" w:before="0" w:after="0"/>
        <w:jc w:val="both"/>
        <w:rPr>
          <w:rFonts w:ascii="Cambria" w:hAnsi="Cambria" w:cs="Arial"/>
          <w:color w:val="222222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</w:r>
    </w:p>
    <w:p>
      <w:pPr>
        <w:pStyle w:val="Corpodotexto"/>
        <w:numPr>
          <w:ilvl w:val="0"/>
          <w:numId w:val="2"/>
        </w:numPr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  <w:t xml:space="preserve">Conhecer a capilaridade da plataforma. Crescemos onde e com quem? Levantar quem são e onde estão as signatárias da Plataforma MROSC por Região, Estado e Município. </w:t>
      </w:r>
    </w:p>
    <w:p>
      <w:pPr>
        <w:pStyle w:val="Corpodotexto"/>
        <w:numPr>
          <w:ilvl w:val="0"/>
          <w:numId w:val="2"/>
        </w:numPr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  <w:t>Ter um canal de comunicação para todo e qualquer assunto, desde convocação para eventos/formação/capacitação até mobilização para assinatura de notas. C</w:t>
      </w:r>
      <w:r>
        <w:rPr>
          <w:rFonts w:cs="Arial" w:ascii="Cambria" w:hAnsi="Cambria"/>
          <w:color w:val="000000"/>
          <w:sz w:val="24"/>
          <w:szCs w:val="24"/>
        </w:rPr>
        <w:t>riar espaço de escuta no site para todas as signatárias.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  <w:t xml:space="preserve">Conhecer os territórios e os movimentos existentes nas localidades, incluir nesse levantamento: poder público e sociedade civil.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  <w:t>Analisar o que se tem programado e executado dentro do projeto apoiado pela União Europeia,</w:t>
      </w:r>
      <w:r>
        <w:rPr>
          <w:rFonts w:cs="Arial" w:ascii="Cambria" w:hAnsi="Cambria"/>
          <w:color w:val="000000"/>
          <w:sz w:val="24"/>
          <w:szCs w:val="24"/>
        </w:rPr>
        <w:t xml:space="preserve"> a exemplo das caravanas. (Partilha do plano de ação do ano II)</w:t>
      </w:r>
    </w:p>
    <w:p>
      <w:pPr>
        <w:pStyle w:val="Normal"/>
        <w:rPr>
          <w:rFonts w:ascii="Cambria" w:hAnsi="Cambria" w:cs="Arial"/>
          <w:color w:val="000000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</w:r>
    </w:p>
    <w:p>
      <w:pPr>
        <w:pStyle w:val="Corpodotexto"/>
        <w:spacing w:lineRule="auto" w:line="240" w:before="0" w:after="0"/>
        <w:jc w:val="both"/>
        <w:rPr>
          <w:rFonts w:ascii="Cambria" w:hAnsi="Cambria"/>
          <w:sz w:val="28"/>
          <w:szCs w:val="28"/>
        </w:rPr>
      </w:pPr>
      <w:r>
        <w:rPr>
          <w:rFonts w:cs="Arial" w:ascii="Cambria" w:hAnsi="Cambria"/>
          <w:b/>
          <w:color w:val="222222"/>
          <w:sz w:val="28"/>
          <w:szCs w:val="28"/>
        </w:rPr>
        <w:t>Princípios da formação</w:t>
      </w:r>
    </w:p>
    <w:p>
      <w:pPr>
        <w:pStyle w:val="Corpodotexto"/>
        <w:spacing w:lineRule="auto" w:line="240" w:before="0" w:after="0"/>
        <w:jc w:val="both"/>
        <w:rPr>
          <w:rFonts w:ascii="Cambria" w:hAnsi="Cambria" w:cs="Arial"/>
          <w:b/>
          <w:b/>
          <w:color w:val="222222"/>
          <w:sz w:val="24"/>
          <w:szCs w:val="24"/>
        </w:rPr>
      </w:pPr>
      <w:r>
        <w:rPr>
          <w:rFonts w:cs="Arial" w:ascii="Cambria" w:hAnsi="Cambria"/>
          <w:b/>
          <w:color w:val="222222"/>
          <w:sz w:val="24"/>
          <w:szCs w:val="24"/>
        </w:rPr>
      </w:r>
    </w:p>
    <w:p>
      <w:pPr>
        <w:pStyle w:val="Corpodotexto"/>
        <w:spacing w:lineRule="auto" w:line="240" w:before="0" w:after="0"/>
        <w:jc w:val="both"/>
        <w:rPr>
          <w:rFonts w:ascii="Arial" w:hAnsi="Arial" w:cs="Arial"/>
          <w:color w:val="222222"/>
          <w:szCs w:val="28"/>
        </w:rPr>
      </w:pPr>
      <w:r>
        <w:rPr>
          <w:rFonts w:cs="Arial" w:ascii="Cambria" w:hAnsi="Cambria"/>
          <w:color w:val="222222"/>
          <w:sz w:val="24"/>
          <w:szCs w:val="24"/>
        </w:rPr>
        <w:t>A partir das experiências reais vividas pelas lideranças explicitar e detalhar as condições operacionais, ambiente político, institucional, jurídico e valorar a ação desenvolvida com suas falhas e sucessos.</w:t>
      </w:r>
    </w:p>
    <w:p>
      <w:pPr>
        <w:pStyle w:val="Corpodotexto"/>
        <w:spacing w:lineRule="auto" w:line="240" w:before="0" w:after="0"/>
        <w:jc w:val="both"/>
        <w:rPr>
          <w:rFonts w:ascii="Cambria" w:hAnsi="Cambria" w:cs="Arial"/>
          <w:color w:val="222222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</w:r>
    </w:p>
    <w:p>
      <w:pPr>
        <w:pStyle w:val="Corpodotexto"/>
        <w:numPr>
          <w:ilvl w:val="0"/>
          <w:numId w:val="1"/>
        </w:numPr>
        <w:tabs>
          <w:tab w:val="clear" w:pos="708"/>
          <w:tab w:val="left" w:pos="394" w:leader="none"/>
        </w:tabs>
        <w:spacing w:lineRule="auto" w:line="240" w:before="0" w:after="0"/>
        <w:ind w:left="714" w:hanging="357"/>
        <w:jc w:val="both"/>
        <w:rPr>
          <w:rFonts w:ascii="Arial" w:hAnsi="Arial" w:cs="Arial"/>
          <w:color w:val="222222"/>
          <w:szCs w:val="28"/>
        </w:rPr>
      </w:pPr>
      <w:r>
        <w:rPr>
          <w:rFonts w:cs="Arial" w:ascii="Cambria" w:hAnsi="Cambria"/>
          <w:color w:val="222222"/>
          <w:sz w:val="24"/>
          <w:szCs w:val="24"/>
        </w:rPr>
        <w:t>Deve ser contínua – processo (suscitando nas pessoas os conteúdos de formação)</w:t>
      </w:r>
    </w:p>
    <w:p>
      <w:pPr>
        <w:pStyle w:val="Corpodotexto"/>
        <w:numPr>
          <w:ilvl w:val="0"/>
          <w:numId w:val="1"/>
        </w:numPr>
        <w:tabs>
          <w:tab w:val="clear" w:pos="708"/>
          <w:tab w:val="left" w:pos="394" w:leader="none"/>
        </w:tabs>
        <w:spacing w:lineRule="auto" w:line="240" w:before="0" w:after="0"/>
        <w:ind w:left="714" w:hanging="357"/>
        <w:jc w:val="both"/>
        <w:rPr>
          <w:rFonts w:ascii="Arial" w:hAnsi="Arial" w:cs="Arial"/>
          <w:color w:val="222222"/>
          <w:szCs w:val="28"/>
        </w:rPr>
      </w:pPr>
      <w:r>
        <w:rPr>
          <w:rFonts w:cs="Arial" w:ascii="Cambria" w:hAnsi="Cambria"/>
          <w:color w:val="222222"/>
          <w:sz w:val="24"/>
          <w:szCs w:val="24"/>
        </w:rPr>
        <w:t>Em serviço – explicitando fatos e desafios concretos do ambiente da ação;</w:t>
      </w:r>
    </w:p>
    <w:p>
      <w:pPr>
        <w:pStyle w:val="Corpodotexto"/>
        <w:numPr>
          <w:ilvl w:val="0"/>
          <w:numId w:val="1"/>
        </w:numPr>
        <w:tabs>
          <w:tab w:val="clear" w:pos="708"/>
          <w:tab w:val="left" w:pos="394" w:leader="none"/>
        </w:tabs>
        <w:spacing w:lineRule="auto" w:line="240" w:before="0" w:after="0"/>
        <w:ind w:left="714" w:hanging="357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  <w:t>Ouvir, conhecer e explicitar as práticas adotadas (</w:t>
      </w:r>
      <w:r>
        <w:rPr>
          <w:rFonts w:cs="Arial" w:ascii="Cambria" w:hAnsi="Cambria"/>
          <w:color w:val="000000"/>
          <w:sz w:val="24"/>
          <w:szCs w:val="24"/>
        </w:rPr>
        <w:t xml:space="preserve">proporcionar intercâmbios entre experiências exemplares, resgatar contribuições da prática dos pequenos projetos apoiados pelos editais de subsubvenção, </w:t>
      </w:r>
      <w:r>
        <w:rPr>
          <w:rFonts w:cs="Arial" w:ascii="Cambria" w:hAnsi="Cambria"/>
          <w:color w:val="222222"/>
          <w:sz w:val="24"/>
          <w:szCs w:val="24"/>
        </w:rPr>
        <w:t xml:space="preserve">recriar experiência); </w:t>
      </w:r>
    </w:p>
    <w:p>
      <w:pPr>
        <w:pStyle w:val="Corpodotexto"/>
        <w:numPr>
          <w:ilvl w:val="0"/>
          <w:numId w:val="1"/>
        </w:numPr>
        <w:tabs>
          <w:tab w:val="clear" w:pos="708"/>
          <w:tab w:val="left" w:pos="394" w:leader="none"/>
        </w:tabs>
        <w:spacing w:lineRule="auto" w:line="240" w:before="0" w:after="0"/>
        <w:ind w:left="714" w:hanging="357"/>
        <w:jc w:val="both"/>
        <w:rPr>
          <w:rFonts w:ascii="Arial" w:hAnsi="Arial" w:cs="Arial"/>
        </w:rPr>
      </w:pPr>
      <w:bookmarkStart w:id="0" w:name="__DdeLink__11843_1817107749"/>
      <w:bookmarkEnd w:id="0"/>
      <w:r>
        <w:rPr>
          <w:rFonts w:cs="Arial" w:ascii="Cambria" w:hAnsi="Cambria"/>
          <w:sz w:val="24"/>
          <w:szCs w:val="24"/>
        </w:rPr>
        <w:t>Em etapas Indutivas (módulos cada vez mais densos);</w:t>
      </w:r>
    </w:p>
    <w:p>
      <w:pPr>
        <w:pStyle w:val="Corpodotexto"/>
        <w:tabs>
          <w:tab w:val="clear" w:pos="708"/>
          <w:tab w:val="left" w:pos="394" w:leader="none"/>
        </w:tabs>
        <w:spacing w:before="0" w:after="60"/>
        <w:ind w:left="57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Corpodotexto"/>
        <w:tabs>
          <w:tab w:val="clear" w:pos="708"/>
          <w:tab w:val="left" w:pos="394" w:leader="none"/>
        </w:tabs>
        <w:spacing w:before="0" w:after="60"/>
        <w:ind w:left="57" w:hanging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color w:val="222222"/>
          <w:sz w:val="24"/>
          <w:szCs w:val="24"/>
        </w:rPr>
        <w:t>Para o processo de formação pensa-se em fazer uma enquete que levante os temas que as signatárias (todas) estão necessitando de formação. A partir desse levantamento a Plataforma MROSC terá condições de organizar a interiorização atendendo as demandas de debate de cada canto do país (região / estado)</w:t>
      </w:r>
      <w:r>
        <w:rPr>
          <w:rFonts w:cs="Arial" w:ascii="Cambria" w:hAnsi="Cambria"/>
          <w:sz w:val="24"/>
          <w:szCs w:val="24"/>
        </w:rPr>
        <w:t>. Utilizar-se do primeiro exercício realizado n</w:t>
      </w:r>
      <w:r>
        <w:rPr>
          <w:rFonts w:cs="Arial" w:ascii="Cambria" w:hAnsi="Cambria"/>
          <w:color w:val="000000"/>
          <w:sz w:val="24"/>
          <w:szCs w:val="24"/>
        </w:rPr>
        <w:t>o perfil junto às articulações Estaduais da Plataforma, porém deve-se ampliar esse exercício para o conjunto das signatárias.</w:t>
      </w:r>
    </w:p>
    <w:p>
      <w:pPr>
        <w:pStyle w:val="Corpodotexto"/>
        <w:tabs>
          <w:tab w:val="clear" w:pos="708"/>
          <w:tab w:val="left" w:pos="394" w:leader="none"/>
        </w:tabs>
        <w:spacing w:before="0" w:after="60"/>
        <w:ind w:left="57" w:hanging="0"/>
        <w:jc w:val="both"/>
        <w:rPr>
          <w:rFonts w:cs="Arial"/>
        </w:rPr>
      </w:pPr>
      <w:r>
        <w:rPr>
          <w:rFonts w:ascii="Cambria" w:hAnsi="Cambria"/>
          <w:sz w:val="24"/>
          <w:szCs w:val="24"/>
        </w:rPr>
      </w:r>
    </w:p>
    <w:p>
      <w:pPr>
        <w:pStyle w:val="Corpodotexto"/>
        <w:tabs>
          <w:tab w:val="clear" w:pos="708"/>
          <w:tab w:val="left" w:pos="394" w:leader="none"/>
        </w:tabs>
        <w:spacing w:before="0" w:after="60"/>
        <w:ind w:left="57" w:hanging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>Este processo é articulado com a execução do Projeto de Fortalecimento da Plataforma MROSC apoiado pela União Europeia.</w:t>
      </w:r>
    </w:p>
    <w:p>
      <w:pPr>
        <w:pStyle w:val="Corpodotexto"/>
        <w:tabs>
          <w:tab w:val="clear" w:pos="708"/>
          <w:tab w:val="left" w:pos="394" w:leader="none"/>
        </w:tabs>
        <w:spacing w:before="0" w:after="60"/>
        <w:ind w:left="57" w:hanging="0"/>
        <w:jc w:val="both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Corpodotexto"/>
        <w:tabs>
          <w:tab w:val="clear" w:pos="708"/>
          <w:tab w:val="left" w:pos="394" w:leader="none"/>
        </w:tabs>
        <w:spacing w:before="0" w:after="60"/>
        <w:ind w:left="57" w:hanging="0"/>
        <w:jc w:val="both"/>
        <w:rPr>
          <w:rFonts w:ascii="Cambria" w:hAnsi="Cambria"/>
          <w:sz w:val="24"/>
          <w:szCs w:val="24"/>
        </w:rPr>
      </w:pPr>
      <w:r>
        <w:rPr>
          <w:rFonts w:cs="Arial" w:ascii="Cambria" w:hAnsi="Cambria"/>
          <w:sz w:val="24"/>
          <w:szCs w:val="24"/>
        </w:rPr>
        <w:t xml:space="preserve">Deve-se sempre pensar em outras parcerias possíveis, a exemplo da articulação de fundos de pequenos projetos, entre eles o Fundo de Direitos Humanos, CESE e outros projetos apoiados pela </w:t>
      </w:r>
      <w:r>
        <w:rPr>
          <w:rFonts w:cs="Arial" w:ascii="Cambria" w:hAnsi="Cambria"/>
          <w:color w:val="000000"/>
          <w:sz w:val="24"/>
          <w:szCs w:val="24"/>
        </w:rPr>
        <w:t>União Europeia</w:t>
      </w:r>
      <w:r>
        <w:rPr>
          <w:rFonts w:cs="Arial" w:ascii="Cambria" w:hAnsi="Cambria"/>
          <w:sz w:val="24"/>
          <w:szCs w:val="24"/>
        </w:rPr>
        <w:t>. Essas parceiras devem ir além de aportes financeiros, buscando também somar outras experiências de interiorização.</w:t>
      </w:r>
    </w:p>
    <w:p>
      <w:pPr>
        <w:pStyle w:val="Normal"/>
        <w:rPr>
          <w:rFonts w:ascii="Cambria" w:hAnsi="Cambria" w:cs="Arial"/>
          <w:sz w:val="24"/>
          <w:szCs w:val="24"/>
        </w:rPr>
      </w:pPr>
      <w:r>
        <w:rPr>
          <w:rFonts w:cs="Arial" w:ascii="Cambria" w:hAnsi="Cambria"/>
          <w:sz w:val="24"/>
          <w:szCs w:val="24"/>
        </w:rPr>
      </w:r>
    </w:p>
    <w:p>
      <w:pPr>
        <w:pStyle w:val="Normal"/>
        <w:spacing w:before="0" w:after="160"/>
        <w:rPr/>
      </w:pPr>
      <w:r>
        <w:rPr>
          <w:rFonts w:cs="Arial" w:ascii="Cambria" w:hAnsi="Cambria"/>
          <w:color w:val="000000"/>
          <w:sz w:val="24"/>
          <w:szCs w:val="24"/>
        </w:rPr>
        <w:t>Você pode ajudar a Plataforma MROSC nesse processo? Dê suas contribuições. Complete esse documento com as ações que você considera importantes serem realizadas para que a Plataforma MROSC consiga interiorizar os debates.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160"/>
        <w:rPr>
          <w:rFonts w:ascii="Arial" w:hAnsi="Arial" w:cs="Arial"/>
          <w:color w:val="000000"/>
          <w:sz w:val="24"/>
          <w:szCs w:val="24"/>
        </w:rPr>
      </w:pPr>
      <w:r>
        <w:rPr/>
      </w:r>
    </w:p>
    <w:p>
      <w:pPr>
        <w:pStyle w:val="Normal"/>
        <w:spacing w:before="0" w:after="160"/>
        <w:jc w:val="right"/>
        <w:rPr>
          <w:rFonts w:ascii="Cambria" w:hAnsi="Cambria"/>
        </w:rPr>
      </w:pPr>
      <w:r>
        <w:rPr>
          <w:rFonts w:cs="Arial" w:ascii="Cambria" w:hAnsi="Cambria"/>
          <w:color w:val="000000"/>
          <w:sz w:val="24"/>
          <w:szCs w:val="24"/>
        </w:rPr>
        <w:t>Brasília, 12 de março de 2021</w:t>
      </w:r>
    </w:p>
    <w:p>
      <w:pPr>
        <w:pStyle w:val="Normal"/>
        <w:spacing w:before="0" w:after="160"/>
        <w:jc w:val="right"/>
        <w:rPr>
          <w:rFonts w:ascii="Cambria" w:hAnsi="Cambria"/>
        </w:rPr>
      </w:pPr>
      <w:r>
        <w:rPr>
          <w:rFonts w:cs="Arial" w:ascii="Cambria" w:hAnsi="Cambria"/>
          <w:color w:val="000000"/>
          <w:sz w:val="24"/>
          <w:szCs w:val="24"/>
        </w:rPr>
        <w:t>Plataforma MROSC</w:t>
      </w:r>
    </w:p>
    <w:p>
      <w:pPr>
        <w:pStyle w:val="Normal"/>
        <w:spacing w:before="0" w:after="160"/>
        <w:jc w:val="right"/>
        <w:rPr>
          <w:rFonts w:cs="Arial"/>
          <w:color w:val="000000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spacing w:before="0" w:after="160"/>
        <w:jc w:val="right"/>
        <w:rPr>
          <w:rFonts w:cs="Arial"/>
          <w:color w:val="000000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spacing w:before="0" w:after="160"/>
        <w:jc w:val="right"/>
        <w:rPr>
          <w:rFonts w:cs="Arial"/>
          <w:color w:val="000000"/>
          <w:sz w:val="24"/>
          <w:szCs w:val="24"/>
        </w:rPr>
      </w:pPr>
      <w:r>
        <w:rPr>
          <w:rFonts w:ascii="Cambria" w:hAnsi="Cambria"/>
        </w:rPr>
      </w:r>
    </w:p>
    <w:p>
      <w:pPr>
        <w:pStyle w:val="Normal"/>
        <w:spacing w:before="0" w:after="160"/>
        <w:jc w:val="right"/>
        <w:rPr>
          <w:rFonts w:cs="Arial"/>
          <w:color w:val="000000"/>
          <w:sz w:val="24"/>
          <w:szCs w:val="24"/>
        </w:rPr>
      </w:pPr>
      <w:r>
        <w:rPr>
          <w:rFonts w:ascii="Cambria" w:hAnsi="Cambria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Cs w:val="28"/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rFonts w:ascii="Arial" w:hAnsi="Arial" w:cs="Arial"/>
      <w:szCs w:val="28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Cs w:val="28"/>
    </w:rPr>
  </w:style>
  <w:style w:type="character" w:styleId="Smbolosdenumerao" w:customStyle="1">
    <w:name w:val="Símbolos de numeração"/>
    <w:qFormat/>
    <w:rPr/>
  </w:style>
  <w:style w:type="character" w:styleId="ListLabel19" w:customStyle="1">
    <w:name w:val="ListLabel 19"/>
    <w:qFormat/>
    <w:rPr>
      <w:rFonts w:cs="Arial"/>
      <w:szCs w:val="28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Arial"/>
      <w:szCs w:val="28"/>
    </w:rPr>
  </w:style>
  <w:style w:type="character" w:styleId="ListLabel22" w:customStyle="1">
    <w:name w:val="ListLabel 22"/>
    <w:qFormat/>
    <w:rPr>
      <w:rFonts w:ascii="Arial" w:hAnsi="Arial" w:cs="Arial"/>
      <w:szCs w:val="28"/>
    </w:rPr>
  </w:style>
  <w:style w:type="character" w:styleId="ListLabel23" w:customStyle="1">
    <w:name w:val="ListLabel 23"/>
    <w:qFormat/>
    <w:rPr>
      <w:rFonts w:ascii="Arial" w:hAnsi="Arial" w:cs="Arial"/>
      <w:szCs w:val="28"/>
    </w:rPr>
  </w:style>
  <w:style w:type="character" w:styleId="ListLabel24">
    <w:name w:val="ListLabel 24"/>
    <w:qFormat/>
    <w:rPr>
      <w:rFonts w:cs="Arial"/>
      <w:szCs w:val="28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Arial"/>
      <w:szCs w:val="28"/>
    </w:rPr>
  </w:style>
  <w:style w:type="character" w:styleId="ListLabel27">
    <w:name w:val="ListLabel 27"/>
    <w:qFormat/>
    <w:rPr>
      <w:rFonts w:ascii="Arial" w:hAnsi="Arial" w:cs="Arial"/>
      <w:szCs w:val="28"/>
    </w:rPr>
  </w:style>
  <w:style w:type="character" w:styleId="ListLabel28">
    <w:name w:val="ListLabel 28"/>
    <w:qFormat/>
    <w:rPr>
      <w:rFonts w:ascii="Arial" w:hAnsi="Arial" w:cs="Arial"/>
      <w:szCs w:val="28"/>
    </w:rPr>
  </w:style>
  <w:style w:type="character" w:styleId="ListLabel29">
    <w:name w:val="ListLabel 29"/>
    <w:qFormat/>
    <w:rPr>
      <w:rFonts w:ascii="Arial" w:hAnsi="Arial"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Arial" w:hAnsi="Arial" w:cs="Arial"/>
      <w:szCs w:val="28"/>
    </w:rPr>
  </w:style>
  <w:style w:type="character" w:styleId="ListLabel39">
    <w:name w:val="ListLabel 39"/>
    <w:qFormat/>
    <w:rPr>
      <w:rFonts w:ascii="Arial" w:hAnsi="Arial"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Arial" w:hAnsi="Arial" w:cs="Arial"/>
      <w:szCs w:val="28"/>
    </w:rPr>
  </w:style>
  <w:style w:type="character" w:styleId="ListLabel49">
    <w:name w:val="ListLabel 49"/>
    <w:qFormat/>
    <w:rPr>
      <w:rFonts w:ascii="Arial" w:hAnsi="Arial"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Arial" w:hAnsi="Arial" w:cs="Arial"/>
      <w:szCs w:val="28"/>
    </w:rPr>
  </w:style>
  <w:style w:type="character" w:styleId="ListLabel59">
    <w:name w:val="ListLabel 59"/>
    <w:qFormat/>
    <w:rPr>
      <w:rFonts w:ascii="Arial" w:hAnsi="Arial" w:cs="Arial"/>
      <w:szCs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Application>Neat_Office/6.2.8.2$Windows_x86 LibreOffice_project/</Application>
  <Pages>2</Pages>
  <Words>505</Words>
  <Characters>2929</Characters>
  <CharactersWithSpaces>3409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2021-03-02T19:35:00Z</dcterms:created>
  <dc:creator>Conta da Microsoft</dc:creator>
  <dc:description/>
  <dc:language>pt-BR</dc:language>
  <cp:lastModifiedBy/>
  <dcterms:modified xsi:type="dcterms:W3CDTF">2021-03-12T16:13:08Z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